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B1F" w:rsidRDefault="006269FE" w:rsidP="006269FE">
      <w:pPr>
        <w:pStyle w:val="Akapitzlist"/>
        <w:numPr>
          <w:ilvl w:val="0"/>
          <w:numId w:val="1"/>
        </w:numPr>
      </w:pPr>
      <w:r>
        <w:t xml:space="preserve">Fantom Dose3D-F przygotowany do pomiarów wewnątrz certyfikowanego fantomu </w:t>
      </w:r>
      <w:proofErr w:type="spellStart"/>
      <w:r>
        <w:t>I'mRT</w:t>
      </w:r>
      <w:proofErr w:type="spellEnd"/>
      <w:r>
        <w:t>. W pomiarze tym zrealizowano kompletny plan leczenia - fantom Dose3D-F reprezentuje organ krytyczny oraz organ naświetlany.</w:t>
      </w:r>
    </w:p>
    <w:p w:rsidR="006269FE" w:rsidRDefault="006269FE" w:rsidP="006269FE">
      <w:pPr>
        <w:pStyle w:val="Akapitzlist"/>
        <w:numPr>
          <w:ilvl w:val="0"/>
          <w:numId w:val="1"/>
        </w:numPr>
      </w:pPr>
      <w:r>
        <w:t xml:space="preserve">Fantom Dose3D-F przygotowany do pomiarów wewnątrz certyfikowanego fantomu </w:t>
      </w:r>
      <w:proofErr w:type="spellStart"/>
      <w:r>
        <w:t>I'mRT</w:t>
      </w:r>
      <w:proofErr w:type="spellEnd"/>
      <w:r>
        <w:t>. Pozycjonowanie urządzenia przy użyciu systemu laserowego akceleratora medycznego.</w:t>
      </w:r>
    </w:p>
    <w:p w:rsidR="006269FE" w:rsidRDefault="006269FE" w:rsidP="006269FE">
      <w:pPr>
        <w:pStyle w:val="Akapitzlist"/>
        <w:numPr>
          <w:ilvl w:val="0"/>
          <w:numId w:val="1"/>
        </w:numPr>
      </w:pPr>
      <w:r>
        <w:t>Pomiar rozkładu przestrzennego dawki terapeutycznej przy pomocy fantomu Dose3D-F w środowisku wodnym. Pomiar ten pozwala na osiągnięcie tak zwanych warunków równowagi elektronowej i reprezentuje realistyczny proces naświetlania pacjenta (na pierwszym planie znajduje się elektroniczny system akwizycji danych zbudowany przez badaczy z AGH).</w:t>
      </w:r>
    </w:p>
    <w:p w:rsidR="006269FE" w:rsidRDefault="006269FE" w:rsidP="006269FE">
      <w:pPr>
        <w:pStyle w:val="Akapitzlist"/>
        <w:numPr>
          <w:ilvl w:val="0"/>
          <w:numId w:val="2"/>
        </w:numPr>
      </w:pPr>
      <w:r>
        <w:t xml:space="preserve">Przygotowanie kalibracji elementów aktywnych fantomu Dose3D-F przed sprzętowym skonfigurowaniem fantomu i rozpoczęciem właściwego pomiaru dawki. Zespół, od lewej: Bartosz </w:t>
      </w:r>
      <w:proofErr w:type="spellStart"/>
      <w:r>
        <w:t>Mindur</w:t>
      </w:r>
      <w:proofErr w:type="spellEnd"/>
      <w:r>
        <w:t xml:space="preserve">, Piotr Wiącek, Jakub Hajduga, Tomasz </w:t>
      </w:r>
      <w:proofErr w:type="spellStart"/>
      <w:r>
        <w:t>Szumlak</w:t>
      </w:r>
      <w:proofErr w:type="spellEnd"/>
      <w:r>
        <w:t>, Dagmara Kulig oraz Damian Kabat.</w:t>
      </w:r>
    </w:p>
    <w:p w:rsidR="006269FE" w:rsidRDefault="006269FE" w:rsidP="006269FE">
      <w:pPr>
        <w:pStyle w:val="Akapitzlist"/>
        <w:numPr>
          <w:ilvl w:val="0"/>
          <w:numId w:val="2"/>
        </w:numPr>
      </w:pPr>
      <w:r>
        <w:t>Przygotowanie do drugiej ekspozycji elementów aktywnych fantomu Dose3D-F przed konfiguracją fantomu oraz właściwymi pomiarami dawki.</w:t>
      </w:r>
      <w:bookmarkStart w:id="0" w:name="_GoBack"/>
      <w:bookmarkEnd w:id="0"/>
    </w:p>
    <w:sectPr w:rsidR="006269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55928"/>
    <w:multiLevelType w:val="hybridMultilevel"/>
    <w:tmpl w:val="F2BE0C6C"/>
    <w:lvl w:ilvl="0" w:tplc="68F6129C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136D71"/>
    <w:multiLevelType w:val="hybridMultilevel"/>
    <w:tmpl w:val="BB1A7A0A"/>
    <w:lvl w:ilvl="0" w:tplc="C49647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8A7"/>
    <w:rsid w:val="004658A7"/>
    <w:rsid w:val="006269FE"/>
    <w:rsid w:val="006B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7650F"/>
  <w15:chartTrackingRefBased/>
  <w15:docId w15:val="{7A097332-2AF2-4A85-A742-215D473E2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69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942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2026-02-13T11:10:00Z</dcterms:created>
  <dcterms:modified xsi:type="dcterms:W3CDTF">2026-02-13T11:12:00Z</dcterms:modified>
</cp:coreProperties>
</file>